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20"/>
        <w:pageBreakBefore w:val="0"/>
        <w:widowControl w:val="0"/>
        <w:kinsoku/>
        <w:wordWrap/>
        <w:overflowPunct/>
        <w:topLinePunct w:val="0"/>
        <w:autoSpaceDE/>
        <w:autoSpaceDN/>
        <w:bidi w:val="0"/>
        <w:adjustRightInd/>
        <w:snapToGrid/>
        <w:spacing w:before="156" w:after="156" w:line="240" w:lineRule="auto"/>
        <w:ind w:firstLine="560"/>
        <w:textAlignment w:val="auto"/>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 xml:space="preserve">  我单位为一级甲等医疗机构，属于差额拨款事业单位,我单位的主要职能为“为人民身体健康提供医疗与预防保健服务。医疗、护理；预防保健；卫生技术人员培训；初级卫生保健规划实施；合作医疗组织与管理；卫生监督与卫生信息管理。</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16895.95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1037.4</w:t>
      </w:r>
      <w:r>
        <w:rPr>
          <w:rFonts w:hint="eastAsia" w:ascii="仿宋_GB2312" w:eastAsia="仿宋_GB2312"/>
          <w:sz w:val="28"/>
          <w:szCs w:val="28"/>
        </w:rPr>
        <w:t>万元，增长</w:t>
      </w:r>
      <w:r>
        <w:rPr>
          <w:rFonts w:hint="eastAsia" w:ascii="仿宋_GB2312" w:eastAsia="仿宋_GB2312"/>
          <w:sz w:val="28"/>
          <w:szCs w:val="28"/>
          <w:lang w:val="en-US" w:eastAsia="zh-CN"/>
        </w:rPr>
        <w:t>6.54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13331.13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367.31</w:t>
      </w:r>
      <w:r>
        <w:rPr>
          <w:rFonts w:hint="eastAsia" w:ascii="仿宋_GB2312" w:eastAsia="仿宋_GB2312"/>
          <w:sz w:val="28"/>
          <w:szCs w:val="28"/>
        </w:rPr>
        <w:t>万元，增长</w:t>
      </w:r>
      <w:r>
        <w:rPr>
          <w:rFonts w:hint="eastAsia" w:ascii="仿宋_GB2312" w:eastAsia="仿宋_GB2312"/>
          <w:sz w:val="28"/>
          <w:szCs w:val="28"/>
          <w:lang w:val="en-US" w:eastAsia="zh-CN"/>
        </w:rPr>
        <w:t>2.83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4802.46</w:t>
      </w:r>
      <w:r>
        <w:rPr>
          <w:rFonts w:hint="eastAsia" w:ascii="仿宋_GB2312" w:eastAsia="仿宋_GB2312"/>
          <w:sz w:val="28"/>
          <w:szCs w:val="28"/>
        </w:rPr>
        <w:t>万元，占收入合计的</w:t>
      </w:r>
      <w:r>
        <w:rPr>
          <w:rFonts w:hint="eastAsia" w:ascii="仿宋_GB2312" w:eastAsia="仿宋_GB2312"/>
          <w:sz w:val="28"/>
          <w:szCs w:val="28"/>
          <w:lang w:eastAsia="zh-CN"/>
        </w:rPr>
        <w:t>36.02%。</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4802.46</w:t>
      </w:r>
      <w:r>
        <w:rPr>
          <w:rFonts w:hint="eastAsia" w:ascii="仿宋_GB2312" w:eastAsia="仿宋_GB2312"/>
          <w:sz w:val="28"/>
          <w:szCs w:val="28"/>
        </w:rPr>
        <w:t>万元，占收入合计的</w:t>
      </w:r>
      <w:r>
        <w:rPr>
          <w:rFonts w:hint="eastAsia" w:ascii="仿宋_GB2312" w:eastAsia="仿宋_GB2312"/>
          <w:sz w:val="28"/>
          <w:szCs w:val="28"/>
          <w:lang w:val="en-US" w:eastAsia="zh-CN"/>
        </w:rPr>
        <w:t>36.02</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8514.54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63.87</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14.13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0.11</w:t>
      </w:r>
      <w:r>
        <w:rPr>
          <w:rFonts w:hint="eastAsia" w:ascii="仿宋_GB2312" w:eastAsia="仿宋_GB2312"/>
          <w:sz w:val="28"/>
          <w:szCs w:val="28"/>
          <w:highlight w:val="none"/>
        </w:rPr>
        <w:t>%。</w:t>
      </w:r>
    </w:p>
    <w:p>
      <w:pPr>
        <w:pStyle w:val="2"/>
        <w:ind w:firstLine="0"/>
        <w:jc w:val="center"/>
      </w:pPr>
      <w:bookmarkStart w:id="0" w:name="_GoBack"/>
      <w:bookmarkEnd w:id="0"/>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12908.65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253.47</w:t>
      </w:r>
      <w:r>
        <w:rPr>
          <w:rFonts w:hint="eastAsia" w:ascii="仿宋_GB2312" w:eastAsia="仿宋_GB2312"/>
          <w:sz w:val="28"/>
          <w:szCs w:val="28"/>
        </w:rPr>
        <w:t>万元，增长</w:t>
      </w:r>
      <w:r>
        <w:rPr>
          <w:rFonts w:hint="eastAsia" w:ascii="仿宋_GB2312" w:eastAsia="仿宋_GB2312"/>
          <w:sz w:val="28"/>
          <w:szCs w:val="28"/>
          <w:lang w:val="en-US" w:eastAsia="zh-CN"/>
        </w:rPr>
        <w:t>2.0</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lang w:val="en-US" w:eastAsia="zh-CN"/>
        </w:rPr>
        <w:t>1.</w:t>
      </w:r>
      <w:r>
        <w:rPr>
          <w:rFonts w:hint="eastAsia" w:ascii="仿宋_GB2312" w:eastAsia="仿宋_GB2312"/>
          <w:sz w:val="28"/>
          <w:szCs w:val="28"/>
        </w:rPr>
        <w:t>基本支</w:t>
      </w:r>
      <w:r>
        <w:rPr>
          <w:rFonts w:hint="eastAsia" w:ascii="仿宋_GB2312" w:eastAsia="仿宋_GB2312"/>
          <w:sz w:val="28"/>
          <w:szCs w:val="28"/>
          <w:highlight w:val="none"/>
        </w:rPr>
        <w:t>出</w:t>
      </w:r>
      <w:r>
        <w:rPr>
          <w:rFonts w:ascii="仿宋_GB2312" w:eastAsia="仿宋_GB2312"/>
          <w:sz w:val="28"/>
          <w:szCs w:val="28"/>
          <w:highlight w:val="none"/>
        </w:rPr>
        <w:t>11361.37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88.01</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项目支出</w:t>
      </w:r>
      <w:r>
        <w:rPr>
          <w:rFonts w:ascii="仿宋_GB2312" w:eastAsia="仿宋_GB2312"/>
          <w:sz w:val="28"/>
          <w:szCs w:val="28"/>
          <w:highlight w:val="none"/>
        </w:rPr>
        <w:t>1547.28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11.99</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5163.91</w:t>
      </w:r>
      <w:r>
        <w:rPr>
          <w:rFonts w:hint="eastAsia" w:ascii="仿宋_GB2312" w:eastAsia="仿宋_GB2312"/>
          <w:sz w:val="28"/>
          <w:szCs w:val="28"/>
        </w:rPr>
        <w:t>万元，比上年减少</w:t>
      </w:r>
      <w:r>
        <w:rPr>
          <w:rFonts w:hint="eastAsia" w:ascii="仿宋_GB2312" w:eastAsia="仿宋_GB2312"/>
          <w:sz w:val="28"/>
          <w:szCs w:val="28"/>
          <w:lang w:val="en-US" w:eastAsia="zh-CN"/>
        </w:rPr>
        <w:t>234.7</w:t>
      </w:r>
      <w:r>
        <w:rPr>
          <w:rFonts w:hint="eastAsia" w:ascii="仿宋_GB2312" w:eastAsia="仿宋_GB2312"/>
          <w:sz w:val="28"/>
          <w:szCs w:val="28"/>
        </w:rPr>
        <w:t>万元，下降</w:t>
      </w:r>
      <w:r>
        <w:rPr>
          <w:rFonts w:hint="eastAsia" w:ascii="仿宋_GB2312" w:eastAsia="仿宋_GB2312"/>
          <w:sz w:val="28"/>
          <w:szCs w:val="28"/>
          <w:lang w:val="en-US" w:eastAsia="zh-CN"/>
        </w:rPr>
        <w:t>4.35</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5163.91</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493.38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9.55</w:t>
      </w:r>
      <w:r>
        <w:rPr>
          <w:rFonts w:hint="eastAsia" w:ascii="仿宋_GB2312" w:eastAsia="仿宋_GB2312"/>
          <w:sz w:val="28"/>
          <w:szCs w:val="28"/>
        </w:rPr>
        <w:t>%；卫生健康支出</w:t>
      </w:r>
      <w:r>
        <w:rPr>
          <w:rFonts w:hint="eastAsia" w:ascii="仿宋_GB2312" w:eastAsia="仿宋_GB2312"/>
          <w:sz w:val="28"/>
          <w:szCs w:val="28"/>
          <w:lang w:val="en-US" w:eastAsia="zh-CN"/>
        </w:rPr>
        <w:t>4309.08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83.45</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361.45万元，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 xml:space="preserve"> </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280" w:firstLineChars="100"/>
        <w:jc w:val="left"/>
        <w:rPr>
          <w:rFonts w:hint="eastAsia" w:ascii="仿宋_GB2312" w:eastAsia="仿宋_GB2312"/>
          <w:color w:val="FF0000"/>
          <w:sz w:val="28"/>
          <w:szCs w:val="28"/>
        </w:rPr>
      </w:pPr>
      <w:r>
        <w:rPr>
          <w:rFonts w:hint="eastAsia" w:ascii="仿宋_GB2312" w:eastAsia="仿宋_GB2312"/>
          <w:sz w:val="28"/>
          <w:szCs w:val="28"/>
        </w:rPr>
        <w:t xml:space="preserve"> 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480.32万元，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493.38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102.72%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493.38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13.06</w:t>
      </w:r>
      <w:r>
        <w:rPr>
          <w:rFonts w:hint="eastAsia" w:ascii="仿宋_GB2312" w:eastAsia="仿宋_GB2312"/>
          <w:sz w:val="28"/>
          <w:szCs w:val="28"/>
        </w:rPr>
        <w:t>万元，增长</w:t>
      </w:r>
      <w:r>
        <w:rPr>
          <w:rFonts w:hint="eastAsia" w:ascii="仿宋_GB2312" w:eastAsia="仿宋_GB2312"/>
          <w:sz w:val="28"/>
          <w:szCs w:val="28"/>
          <w:lang w:val="en-US" w:eastAsia="zh-CN"/>
        </w:rPr>
        <w:t>2.72</w:t>
      </w:r>
      <w:r>
        <w:rPr>
          <w:rFonts w:hint="eastAsia" w:ascii="仿宋_GB2312" w:eastAsia="仿宋_GB2312"/>
          <w:sz w:val="28"/>
          <w:szCs w:val="28"/>
        </w:rPr>
        <w:t>%。主要原因：</w:t>
      </w:r>
      <w:r>
        <w:rPr>
          <w:rFonts w:hint="eastAsia" w:ascii="仿宋_GB2312" w:eastAsia="仿宋_GB2312"/>
          <w:sz w:val="28"/>
          <w:szCs w:val="28"/>
          <w:lang w:val="en-US" w:eastAsia="zh-CN"/>
        </w:rPr>
        <w:t>24年年初预算是以2023年10月工资表测算，当时月份退休职工人数减少，而在2024年实际发生年退休人员有所增加，</w:t>
      </w:r>
      <w:r>
        <w:rPr>
          <w:rFonts w:hint="eastAsia" w:ascii="仿宋_GB2312" w:eastAsia="仿宋_GB2312"/>
          <w:sz w:val="28"/>
          <w:szCs w:val="28"/>
        </w:rPr>
        <w:t>造成社会保障和就业支出与预算相比增长。</w:t>
      </w:r>
    </w:p>
    <w:p>
      <w:pPr>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4309.08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80.34</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1.90</w:t>
      </w:r>
      <w:r>
        <w:rPr>
          <w:rFonts w:hint="eastAsia" w:ascii="仿宋_GB2312" w:eastAsia="仿宋_GB2312"/>
          <w:sz w:val="28"/>
          <w:szCs w:val="28"/>
        </w:rPr>
        <w:t>%。其中：“基层医疗卫生机构”202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2637.98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105.4</w:t>
      </w:r>
      <w:r>
        <w:rPr>
          <w:rFonts w:hint="eastAsia" w:ascii="仿宋_GB2312" w:eastAsia="仿宋_GB2312"/>
          <w:sz w:val="28"/>
          <w:szCs w:val="28"/>
        </w:rPr>
        <w:t>万元，增长</w:t>
      </w:r>
      <w:r>
        <w:rPr>
          <w:rFonts w:hint="eastAsia" w:ascii="仿宋_GB2312" w:eastAsia="仿宋_GB2312"/>
          <w:sz w:val="28"/>
          <w:szCs w:val="28"/>
          <w:lang w:val="en-US" w:eastAsia="zh-CN"/>
        </w:rPr>
        <w:t>4.16</w:t>
      </w:r>
      <w:r>
        <w:rPr>
          <w:rFonts w:hint="eastAsia" w:ascii="仿宋_GB2312" w:eastAsia="仿宋_GB2312"/>
          <w:sz w:val="28"/>
          <w:szCs w:val="28"/>
        </w:rPr>
        <w:t xml:space="preserve"> %。主要原因：在</w:t>
      </w:r>
      <w:r>
        <w:rPr>
          <w:rFonts w:hint="eastAsia" w:ascii="仿宋_GB2312" w:eastAsia="仿宋_GB2312"/>
          <w:sz w:val="28"/>
          <w:szCs w:val="28"/>
          <w:lang w:val="en-US" w:eastAsia="zh-CN"/>
        </w:rPr>
        <w:t>2024年新增在职人员4人，随着人员增加在职人员工资增加</w:t>
      </w:r>
      <w:r>
        <w:rPr>
          <w:rFonts w:hint="eastAsia" w:ascii="仿宋_GB2312" w:eastAsia="仿宋_GB2312"/>
          <w:sz w:val="28"/>
          <w:szCs w:val="28"/>
        </w:rPr>
        <w:t>造成决算数据较年初预算数据增长的原因。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1164.62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69.65</w:t>
      </w:r>
      <w:r>
        <w:rPr>
          <w:rFonts w:hint="eastAsia" w:ascii="仿宋_GB2312" w:eastAsia="仿宋_GB2312"/>
          <w:sz w:val="28"/>
          <w:szCs w:val="28"/>
        </w:rPr>
        <w:t>万元，增长</w:t>
      </w:r>
      <w:r>
        <w:rPr>
          <w:rFonts w:hint="eastAsia" w:ascii="仿宋_GB2312" w:eastAsia="仿宋_GB2312"/>
          <w:sz w:val="28"/>
          <w:szCs w:val="28"/>
          <w:lang w:val="en-US" w:eastAsia="zh-CN"/>
        </w:rPr>
        <w:t>6.36</w:t>
      </w:r>
      <w:r>
        <w:rPr>
          <w:rFonts w:hint="eastAsia" w:ascii="仿宋_GB2312" w:eastAsia="仿宋_GB2312"/>
          <w:sz w:val="28"/>
          <w:szCs w:val="28"/>
        </w:rPr>
        <w:t>%。主要原因：在202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3</w:t>
      </w:r>
      <w:r>
        <w:rPr>
          <w:rFonts w:hint="eastAsia" w:ascii="仿宋_GB2312" w:eastAsia="仿宋_GB2312"/>
          <w:sz w:val="28"/>
          <w:szCs w:val="28"/>
        </w:rPr>
        <w:t>月-11月期间，增加120院前急救补助资金、市级和中央基本公卫补助资金等和区内统筹。</w:t>
      </w:r>
    </w:p>
    <w:p>
      <w:pPr>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333.46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年初预算</w:t>
      </w:r>
      <w:r>
        <w:rPr>
          <w:rFonts w:hint="eastAsia" w:ascii="仿宋_GB2312" w:eastAsia="仿宋_GB2312"/>
          <w:sz w:val="28"/>
          <w:szCs w:val="28"/>
          <w:lang w:val="en-US" w:eastAsia="zh-CN"/>
        </w:rPr>
        <w:t>341.01</w:t>
      </w:r>
      <w:r>
        <w:rPr>
          <w:rFonts w:hint="eastAsia" w:ascii="仿宋_GB2312" w:eastAsia="仿宋_GB2312"/>
          <w:sz w:val="28"/>
          <w:szCs w:val="28"/>
        </w:rPr>
        <w:t>减少</w:t>
      </w:r>
      <w:r>
        <w:rPr>
          <w:rFonts w:hint="eastAsia" w:ascii="仿宋_GB2312" w:eastAsia="仿宋_GB2312"/>
          <w:sz w:val="28"/>
          <w:szCs w:val="28"/>
          <w:lang w:val="en-US" w:eastAsia="zh-CN"/>
        </w:rPr>
        <w:t>7.55万元，下降了2.21%，是因为年底关于这部分保险由上年奖励基金冲调减少所致。</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11.06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1.06</w:t>
      </w:r>
      <w:r>
        <w:rPr>
          <w:rFonts w:hint="eastAsia" w:ascii="仿宋_GB2312" w:eastAsia="仿宋_GB2312"/>
          <w:sz w:val="28"/>
          <w:szCs w:val="28"/>
        </w:rPr>
        <w:t>万元，增长</w:t>
      </w:r>
      <w:r>
        <w:rPr>
          <w:rFonts w:hint="eastAsia" w:ascii="仿宋_GB2312" w:eastAsia="仿宋_GB2312"/>
          <w:sz w:val="28"/>
          <w:szCs w:val="28"/>
          <w:lang w:val="en-US" w:eastAsia="zh-CN"/>
        </w:rPr>
        <w:t>10.6</w:t>
      </w:r>
      <w:r>
        <w:rPr>
          <w:rFonts w:hint="eastAsia" w:ascii="仿宋_GB2312" w:eastAsia="仿宋_GB2312"/>
          <w:sz w:val="28"/>
          <w:szCs w:val="28"/>
        </w:rPr>
        <w:t>%。主要原因：区内统筹。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“其他卫生健康支出”202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161.96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88.21</w:t>
      </w:r>
      <w:r>
        <w:rPr>
          <w:rFonts w:hint="eastAsia" w:ascii="仿宋_GB2312" w:eastAsia="仿宋_GB2312"/>
          <w:sz w:val="28"/>
          <w:szCs w:val="28"/>
        </w:rPr>
        <w:t>万元，</w:t>
      </w:r>
      <w:r>
        <w:rPr>
          <w:rFonts w:hint="eastAsia" w:ascii="仿宋_GB2312" w:eastAsia="仿宋_GB2312"/>
          <w:sz w:val="28"/>
          <w:szCs w:val="28"/>
          <w:lang w:eastAsia="zh-CN"/>
        </w:rPr>
        <w:t>下降</w:t>
      </w:r>
      <w:r>
        <w:rPr>
          <w:rFonts w:hint="eastAsia" w:ascii="仿宋_GB2312" w:eastAsia="仿宋_GB2312"/>
          <w:sz w:val="28"/>
          <w:szCs w:val="28"/>
          <w:lang w:val="en-US" w:eastAsia="zh-CN"/>
        </w:rPr>
        <w:t>35.26</w:t>
      </w:r>
      <w:r>
        <w:rPr>
          <w:rFonts w:hint="eastAsia" w:ascii="仿宋_GB2312" w:eastAsia="仿宋_GB2312"/>
          <w:sz w:val="28"/>
          <w:szCs w:val="28"/>
        </w:rPr>
        <w:t>%。主要原因：</w:t>
      </w:r>
      <w:r>
        <w:rPr>
          <w:rFonts w:hint="eastAsia" w:ascii="仿宋_GB2312" w:eastAsia="仿宋_GB2312"/>
          <w:sz w:val="28"/>
          <w:szCs w:val="28"/>
          <w:lang w:eastAsia="zh-CN"/>
        </w:rPr>
        <w:t>其中乡村医生岗位人员补助（专项）退回财政</w:t>
      </w:r>
      <w:r>
        <w:rPr>
          <w:rFonts w:hint="eastAsia" w:ascii="仿宋_GB2312" w:eastAsia="仿宋_GB2312"/>
          <w:sz w:val="28"/>
          <w:szCs w:val="28"/>
        </w:rPr>
        <w:t>。</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rPr>
        <w:t>住房保障支出</w:t>
      </w:r>
      <w:r>
        <w:rPr>
          <w:rFonts w:hint="eastAsia" w:ascii="仿宋_GB2312" w:eastAsia="仿宋_GB2312"/>
          <w:sz w:val="28"/>
          <w:szCs w:val="28"/>
          <w:lang w:eastAsia="zh-CN"/>
        </w:rPr>
        <w:t>”</w:t>
      </w:r>
      <w:r>
        <w:rPr>
          <w:rFonts w:hint="eastAsia" w:ascii="仿宋_GB2312" w:eastAsia="仿宋_GB2312"/>
          <w:sz w:val="28"/>
          <w:szCs w:val="28"/>
          <w:lang w:val="en-US" w:eastAsia="zh-CN"/>
        </w:rPr>
        <w:t>2024年度决算361.45万元，比2024年年初预算增加361.45万元，增长100%，主要原因：区内统筹。</w:t>
      </w:r>
    </w:p>
    <w:p>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60" w:firstLineChars="200"/>
        <w:rPr>
          <w:rFonts w:hint="eastAsia" w:ascii="黑体"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w:t>
      </w:r>
      <w:r>
        <w:rPr>
          <w:rFonts w:hint="eastAsia" w:ascii="仿宋_GB2312" w:eastAsia="仿宋_GB2312"/>
          <w:sz w:val="28"/>
          <w:szCs w:val="28"/>
          <w:lang w:eastAsia="zh-CN"/>
        </w:rPr>
        <w:t>收入总计</w:t>
      </w:r>
      <w:r>
        <w:rPr>
          <w:rFonts w:hint="eastAsia" w:ascii="仿宋_GB2312" w:eastAsia="仿宋_GB2312"/>
          <w:sz w:val="28"/>
          <w:szCs w:val="28"/>
          <w:lang w:val="en-US" w:eastAsia="zh-CN"/>
        </w:rPr>
        <w:t>0万元，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w:t>
      </w:r>
      <w:r>
        <w:rPr>
          <w:rFonts w:hint="eastAsia" w:ascii="仿宋_GB2312" w:eastAsia="仿宋_GB2312"/>
          <w:sz w:val="28"/>
          <w:szCs w:val="28"/>
          <w:lang w:eastAsia="zh-CN"/>
        </w:rPr>
        <w:t>支出总计</w:t>
      </w:r>
      <w:r>
        <w:rPr>
          <w:rFonts w:hint="eastAsia" w:ascii="仿宋_GB2312" w:eastAsia="仿宋_GB2312"/>
          <w:sz w:val="28"/>
          <w:szCs w:val="28"/>
          <w:lang w:val="en-US" w:eastAsia="zh-CN"/>
        </w:rPr>
        <w:t>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3665.86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“三公”经费包括本单位所属</w:t>
      </w:r>
      <w:r>
        <w:rPr>
          <w:rFonts w:hint="eastAsia" w:ascii="仿宋_GB2312" w:eastAsia="仿宋_GB2312"/>
          <w:bCs/>
          <w:sz w:val="28"/>
          <w:szCs w:val="28"/>
        </w:rPr>
        <w:t>1</w:t>
      </w:r>
      <w:r>
        <w:rPr>
          <w:rFonts w:hint="eastAsia" w:ascii="仿宋_GB2312" w:eastAsia="仿宋_GB2312"/>
          <w:sz w:val="28"/>
          <w:szCs w:val="28"/>
        </w:rPr>
        <w:t>个事业单位。202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年度“三公”经费财政拨款决算数0万元，比202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年度“三公”经费财政拨款年初预算0万元增加0万元。其中：</w:t>
      </w:r>
    </w:p>
    <w:p>
      <w:pPr>
        <w:spacing w:line="560" w:lineRule="exact"/>
        <w:ind w:firstLine="840" w:firstLineChars="3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年度决算数0万元，比202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年度年初预算数0万元增加0万元。202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年度组织因公出国（境）团组0个、0人次。</w:t>
      </w:r>
    </w:p>
    <w:p>
      <w:pPr>
        <w:spacing w:line="560" w:lineRule="exact"/>
        <w:ind w:firstLine="840" w:firstLineChars="3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年度决算数0万元，比202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年度年初预算数0万元增加0万元。公务接待0批次，公务接待0人次。</w:t>
      </w:r>
    </w:p>
    <w:p>
      <w:pPr>
        <w:spacing w:line="560" w:lineRule="exact"/>
        <w:ind w:firstLine="840" w:firstLineChars="3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年度决算数0万元，比202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年度年初预算数0万元增加0万元。其中，公务用车购置费202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年度决算数0万元，202</w:t>
      </w:r>
      <w:r>
        <w:rPr>
          <w:rFonts w:hint="eastAsia" w:ascii="仿宋_GB2312" w:eastAsia="仿宋_GB2312"/>
          <w:sz w:val="28"/>
          <w:szCs w:val="28"/>
          <w:lang w:val="en-US" w:eastAsia="zh-CN"/>
        </w:rPr>
        <w:t>4</w:t>
      </w:r>
      <w:r>
        <w:rPr>
          <w:rFonts w:hint="eastAsia" w:ascii="仿宋_GB2312" w:eastAsia="仿宋_GB2312"/>
          <w:sz w:val="28"/>
          <w:szCs w:val="28"/>
        </w:rPr>
        <w:t>年度购置（更新）0辆，车均购置费0万元。公务用车运行维护费202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年度决算数0万元。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193.4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193.40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74</w:t>
      </w:r>
      <w:r>
        <w:rPr>
          <w:rFonts w:hint="eastAsia" w:ascii="仿宋_GB2312" w:eastAsia="仿宋_GB2312"/>
          <w:sz w:val="28"/>
          <w:szCs w:val="28"/>
        </w:rPr>
        <w:t>万元，占政府采购支出总额的</w:t>
      </w:r>
      <w:r>
        <w:rPr>
          <w:rFonts w:hint="eastAsia" w:ascii="仿宋_GB2312" w:eastAsia="仿宋_GB2312"/>
          <w:sz w:val="28"/>
          <w:szCs w:val="28"/>
          <w:lang w:eastAsia="zh-CN"/>
        </w:rPr>
        <w:t>38.26</w:t>
      </w:r>
      <w:r>
        <w:rPr>
          <w:rFonts w:hint="eastAsia" w:ascii="仿宋_GB2312" w:eastAsia="仿宋_GB2312"/>
          <w:sz w:val="28"/>
          <w:szCs w:val="28"/>
        </w:rPr>
        <w:t>%，其中：授予小微企业合同金额</w:t>
      </w:r>
      <w:r>
        <w:rPr>
          <w:rFonts w:ascii="仿宋_GB2312" w:eastAsia="仿宋_GB2312"/>
          <w:sz w:val="28"/>
          <w:szCs w:val="28"/>
        </w:rPr>
        <w:t>74</w:t>
      </w:r>
      <w:r>
        <w:rPr>
          <w:rFonts w:hint="eastAsia" w:ascii="仿宋_GB2312" w:eastAsia="仿宋_GB2312"/>
          <w:sz w:val="28"/>
          <w:szCs w:val="28"/>
        </w:rPr>
        <w:t>万元，占政府采购支出总额的</w:t>
      </w:r>
      <w:r>
        <w:rPr>
          <w:rFonts w:ascii="仿宋_GB2312" w:eastAsia="仿宋_GB2312"/>
          <w:sz w:val="28"/>
          <w:szCs w:val="28"/>
        </w:rPr>
        <w:t>38.26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12月31日，北京市大兴区庞各庄镇中心卫生院</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9"/>
        <w:spacing w:before="0" w:beforeAutospacing="0" w:after="0" w:afterAutospacing="0" w:line="300" w:lineRule="atLeast"/>
        <w:ind w:firstLine="280" w:firstLineChars="100"/>
        <w:jc w:val="both"/>
        <w:rPr>
          <w:rFonts w:hint="eastAsia" w:ascii="仿宋_GB2312" w:eastAsia="仿宋_GB2312"/>
          <w:b w:val="0"/>
          <w:kern w:val="2"/>
          <w:sz w:val="28"/>
          <w:szCs w:val="28"/>
        </w:rPr>
      </w:pPr>
      <w:r>
        <w:rPr>
          <w:rFonts w:hint="eastAsia" w:ascii="仿宋_GB2312" w:eastAsia="仿宋_GB2312"/>
          <w:sz w:val="28"/>
          <w:szCs w:val="28"/>
        </w:rPr>
        <w:t xml:space="preserve"> </w:t>
      </w:r>
      <w:r>
        <w:rPr>
          <w:rFonts w:hint="eastAsia" w:ascii="仿宋_GB2312" w:eastAsia="仿宋_GB2312"/>
          <w:b w:val="0"/>
          <w:bCs/>
          <w:sz w:val="28"/>
          <w:szCs w:val="28"/>
        </w:rPr>
        <w:t>7</w:t>
      </w:r>
      <w:r>
        <w:rPr>
          <w:rFonts w:hint="eastAsia" w:ascii="仿宋_GB2312" w:eastAsia="仿宋_GB2312"/>
          <w:sz w:val="28"/>
          <w:szCs w:val="28"/>
        </w:rPr>
        <w:t>.</w:t>
      </w:r>
      <w:r>
        <w:rPr>
          <w:rFonts w:hint="eastAsia" w:ascii="仿宋_GB2312" w:eastAsia="仿宋_GB2312"/>
          <w:b w:val="0"/>
          <w:sz w:val="28"/>
          <w:szCs w:val="28"/>
        </w:rPr>
        <w:t xml:space="preserve"> </w:t>
      </w:r>
      <w:r>
        <w:rPr>
          <w:rFonts w:ascii="仿宋_GB2312" w:eastAsia="仿宋_GB2312"/>
          <w:b w:val="0"/>
          <w:kern w:val="2"/>
          <w:sz w:val="28"/>
          <w:szCs w:val="28"/>
        </w:rPr>
        <w:t>支出功能分类</w:t>
      </w:r>
      <w:r>
        <w:rPr>
          <w:rFonts w:hint="eastAsia" w:ascii="仿宋_GB2312" w:eastAsia="仿宋_GB2312"/>
          <w:b w:val="0"/>
          <w:kern w:val="2"/>
          <w:sz w:val="28"/>
          <w:szCs w:val="28"/>
        </w:rPr>
        <w:t>：</w:t>
      </w:r>
      <w:r>
        <w:rPr>
          <w:rFonts w:ascii="仿宋_GB2312" w:eastAsia="仿宋_GB2312"/>
          <w:b w:val="0"/>
          <w:kern w:val="2"/>
          <w:sz w:val="28"/>
          <w:szCs w:val="28"/>
        </w:rPr>
        <w:t>主要反映政府各项职能活动及其政策目标。根据社会主义市场经济条件下政府职能活动情况及国际通行做法，将政府支出分为类、款、项三级。</w:t>
      </w:r>
    </w:p>
    <w:p>
      <w:pPr>
        <w:pStyle w:val="9"/>
        <w:spacing w:before="0" w:beforeAutospacing="0" w:after="0" w:afterAutospacing="0" w:line="300" w:lineRule="atLeast"/>
        <w:ind w:firstLine="420" w:firstLineChars="150"/>
        <w:jc w:val="both"/>
        <w:rPr>
          <w:rFonts w:ascii="仿宋_GB2312" w:eastAsia="仿宋_GB2312"/>
          <w:b w:val="0"/>
          <w:kern w:val="2"/>
          <w:sz w:val="28"/>
          <w:szCs w:val="28"/>
        </w:rPr>
      </w:pPr>
      <w:r>
        <w:rPr>
          <w:rFonts w:hint="eastAsia" w:ascii="仿宋_GB2312" w:eastAsia="仿宋_GB2312"/>
          <w:b w:val="0"/>
          <w:kern w:val="2"/>
          <w:sz w:val="28"/>
          <w:szCs w:val="28"/>
        </w:rPr>
        <w:t>8.</w:t>
      </w:r>
      <w:r>
        <w:rPr>
          <w:rFonts w:ascii="Arial" w:hAnsi="Arial" w:cs="Arial"/>
          <w:color w:val="333333"/>
          <w:shd w:val="clear" w:color="auto" w:fill="FFFFFF"/>
        </w:rPr>
        <w:t xml:space="preserve"> </w:t>
      </w:r>
      <w:r>
        <w:rPr>
          <w:rFonts w:ascii="仿宋_GB2312" w:eastAsia="仿宋_GB2312"/>
          <w:b w:val="0"/>
          <w:kern w:val="2"/>
          <w:sz w:val="28"/>
          <w:szCs w:val="28"/>
        </w:rPr>
        <w:t>支出经济分类</w:t>
      </w:r>
      <w:r>
        <w:rPr>
          <w:rFonts w:hint="eastAsia" w:ascii="仿宋_GB2312" w:eastAsia="仿宋_GB2312"/>
          <w:b w:val="0"/>
          <w:kern w:val="2"/>
          <w:sz w:val="28"/>
          <w:szCs w:val="28"/>
        </w:rPr>
        <w:t>：</w:t>
      </w:r>
      <w:r>
        <w:rPr>
          <w:rFonts w:ascii="仿宋_GB2312" w:eastAsia="仿宋_GB2312"/>
          <w:b w:val="0"/>
          <w:kern w:val="2"/>
          <w:sz w:val="28"/>
          <w:szCs w:val="28"/>
        </w:rPr>
        <w:t>指按支付的经济性质和具体用途所作的一种分类，明确反映政府的</w:t>
      </w:r>
      <w:r>
        <w:rPr>
          <w:rFonts w:hint="eastAsia" w:ascii="仿宋_GB2312" w:eastAsia="仿宋_GB2312"/>
          <w:b w:val="0"/>
          <w:kern w:val="2"/>
          <w:sz w:val="28"/>
          <w:szCs w:val="28"/>
        </w:rPr>
        <w:t>资金支出明细</w:t>
      </w:r>
      <w:r>
        <w:rPr>
          <w:rFonts w:ascii="仿宋_GB2312" w:eastAsia="仿宋_GB2312"/>
          <w:b w:val="0"/>
          <w:kern w:val="2"/>
          <w:sz w:val="28"/>
          <w:szCs w:val="28"/>
        </w:rPr>
        <w:t>。支出经济分类科目设类、款两级。类级科目主要包括工资福利支出、对个人和家庭的补助、基本建设支出等。款级科目是对类级科目的细化，如基本建设支出进一步细分为房屋建筑物购建、专用设备购置、大型修缮等。</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AA8404"/>
    <w:multiLevelType w:val="singleLevel"/>
    <w:tmpl w:val="88AA8404"/>
    <w:lvl w:ilvl="0" w:tentative="0">
      <w:start w:val="5"/>
      <w:numFmt w:val="chineseCounting"/>
      <w:suff w:val="nothing"/>
      <w:lvlText w:val="%1、"/>
      <w:lvlJc w:val="left"/>
      <w:rPr>
        <w:rFonts w:hint="eastAsia"/>
      </w:rPr>
    </w:lvl>
  </w:abstractNum>
  <w:abstractNum w:abstractNumId="1">
    <w:nsid w:val="8D7E84BE"/>
    <w:multiLevelType w:val="singleLevel"/>
    <w:tmpl w:val="8D7E84B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22C51B1"/>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645A16"/>
    <w:rsid w:val="5B9C37C2"/>
    <w:rsid w:val="5BA7C654"/>
    <w:rsid w:val="5DF716AE"/>
    <w:rsid w:val="5F9F507E"/>
    <w:rsid w:val="60A54109"/>
    <w:rsid w:val="61D01CDF"/>
    <w:rsid w:val="64C0607C"/>
    <w:rsid w:val="65756C86"/>
    <w:rsid w:val="674D385B"/>
    <w:rsid w:val="676F09E1"/>
    <w:rsid w:val="71691990"/>
    <w:rsid w:val="71793A80"/>
    <w:rsid w:val="7357290B"/>
    <w:rsid w:val="73734744"/>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样式 标题 2 + Times New Roman 非加粗 段前: 0.5 行 段后: 0.5 行"/>
    <w:basedOn w:val="2"/>
    <w:qFormat/>
    <w:uiPriority w:val="0"/>
    <w:pPr>
      <w:spacing w:before="120" w:after="120"/>
      <w:jc w:val="left"/>
    </w:pPr>
    <w:rPr>
      <w:rFonts w:ascii="Times New Roman" w:hAnsi="Times New Roman" w:cs="宋体"/>
      <w:b w:val="0"/>
      <w:bCs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4802.46</c:v>
                </c:pt>
                <c:pt idx="1">
                  <c:v>0</c:v>
                </c:pt>
                <c:pt idx="2">
                  <c:v>8514.54</c:v>
                </c:pt>
                <c:pt idx="3">
                  <c:v>0</c:v>
                </c:pt>
                <c:pt idx="4">
                  <c:v>0</c:v>
                </c:pt>
                <c:pt idx="5">
                  <c:v>14.13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11361.37</c:v>
                </c:pt>
                <c:pt idx="1">
                  <c:v>1547.28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155</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2025-09-25T07:22:30Z</cp:lastPrinted>
  <dcterms:modified xsi:type="dcterms:W3CDTF">2025-09-25T07:22:34Z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